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lang w:val="ru-RU"/>
        </w:rPr>
        <w:t xml:space="preserve">ДОГОВОР</w:t>
      </w:r>
      <w:r>
        <w:rPr>
          <w:rFonts w:ascii="Times New Roman" w:hAnsi="Times New Roman" w:eastAsia="Times New Roman" w:cs="Times New Roman"/>
          <w:b/>
          <w:bCs/>
          <w:lang w:val="ru-RU"/>
        </w:rPr>
        <w:br/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КУПЛИ-ПРОДАЖИ ЗЕМЕЛЬНОГО УЧАСТКА</w:t>
      </w:r>
      <w:r>
        <w:rPr>
          <w:rFonts w:ascii="Times New Roman" w:hAnsi="Times New Roman" w:eastAsia="Times New Roman" w:cs="Times New Roman"/>
          <w:b/>
          <w:bCs/>
          <w:lang w:val="ru-RU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г. 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«__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2026 года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Гражданин(ка) Российской Федерации ______________________________, дата рождения: ____________, место рождения: ______________________________, паспорт: серия ______ № __________, выдан ______________________________ «__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______ года, код подразделения __________, зарегистрированный(ая) по адресу: ______________________________, именуемый(ая) в дальнейшем «Продавец», с одной стороны,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и гражданин(ка) Российской Федерации ______________________________, дата рождения: ____________, место рождения: ______________________________, паспорт: серия ______ № __________, выдан ______________________________ «__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______ года, код подразделения __________, зарегистрированный(ая) по адресу: ______________________________, именуемый(ая) в дальнейшем «Покупатель», с другой стороны,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совместно именуемые «Стороны», заключили настоящий Договор о нижеследующем.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Предмет Договора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1.1. Продавец обязуется передать в собственность Покупателя, а Покупатель обязуется принять и оплатить земельный участок со следующими характеристиками: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кадастровый номер: ______________________________;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площадь: _______________;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адрес (местоположение): ______________________________;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категория земель: земли населённых пунктов;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вид разрешённого использования: ______________________________.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Категория земель, вид разрешённого использования, площадь и адрес (местоположение) указываются в настоящем Договоре дословно в соответствии со сведениями Единого государственного реестра недвижимости.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1.2. Местоположение границ земельного участка установлено в соответствии с требованиями законодательства, сведения о координатах характерных точек границ внесены в Единый государственный реестр недвижимости.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1.3. Объекты недвижимости — здания, сооружения и объекты незавершённого строительства — на земельном участке отсутствуют.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1.4. Земельный участок принадлежит Продавцу на праве собственности на основании ______________________________ от «__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______ года.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Право собственности Продавца зарегистрировано в Едином государственном реестре недвижимости «__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______ года, номер государственной регистрации права: ______________________________.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1.5. Сведения о земельном участке и зарегистрированных правах на него подтверждаются выпиской из Единого государственного реестра недвижимости от «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2026 года.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Цена и порядок расчётов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2.1. Цена земельного участка установлена соглашением Сторон и составляет _____________________________________________________________________________</w:t>
      </w:r>
      <w:r>
        <w:rPr>
          <w:rFonts w:ascii="Times New Roman" w:hAnsi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(_____________________________________________________________________ рублей).</w:t>
      </w:r>
      <w:r>
        <w:rPr>
          <w:rFonts w:ascii="Times New Roman" w:hAnsi="Times New Roman" w:eastAsia="Times New Roman" w:cs="Times New Roman"/>
        </w:rPr>
      </w:r>
      <w:r/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Указанная цена является окончательной и изменению в одностороннем порядке не подлежит.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2.2. Покупатель передаёт Продавцу _____________________________________</w:t>
      </w:r>
      <w:r>
        <w:rPr>
          <w:rFonts w:ascii="Times New Roman" w:hAnsi="Times New Roman" w:eastAsia="Times New Roman" w:cs="Times New Roman"/>
        </w:rPr>
        <w:t xml:space="preserve"> рублей наличными денежными средствами в день подписания настоящего Договора, после его подписания Сторонами, но до передачи документов специалисту многофункционального центра для государственной регистрации перехода права собственности.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2.3. Получение Продавцом всей суммы, указанной в пункте 2.1 настоящего Догов</w:t>
      </w:r>
      <w:r>
        <w:rPr>
          <w:rFonts w:ascii="Times New Roman" w:hAnsi="Times New Roman" w:eastAsia="Times New Roman" w:cs="Times New Roman"/>
        </w:rPr>
        <w:t xml:space="preserve">ора, подтверждается отдельной распиской Продавца. Расписка должна содержать сведения о Сторонах, дату и реквизиты настоящего Договора, кадастровый номер земельного участка, полученную сумму цифрами и прописью, а также указание на полный расчёт по Договору.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2.4. После получения Продавцом денежных средств обязательство Покупателя по оплате земельного участка считается исполненным полностью. Рассрочка или отсрочка платежа настоящим Договором не предусмотрена.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связи с полной оплатой цены земельного участка до государственной регистрации перехода права собственности право залога у Продавца в силу пункта 5 статьи 488 Гражданского кодекса Российской Федерации не возникает.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2.5. Намерение Покупателя после государственной регистрации перехода</w:t>
      </w:r>
      <w:r>
        <w:rPr>
          <w:rFonts w:ascii="Times New Roman" w:hAnsi="Times New Roman" w:eastAsia="Times New Roman" w:cs="Times New Roman"/>
        </w:rPr>
        <w:t xml:space="preserve"> права собственности обратиться за возмещением понесённых расходов за счёт средств областного материнского (семейного) капитала не изменяет порядок расчётов между Сторонами и не возлагает на Продавца обязанностей по возврату или ожиданию указанных средств.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2.6. Если государственная регистрация перехода права собственности будет приостановлена, Стороны обязуются без необоснованной задержки совершить необходимые действия и представить документы для устранения причин приостановления.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случае окончательного отказа в государственной регистрации перехода права собственности либо невозможности устранить причины приостановления </w:t>
      </w:r>
      <w:r>
        <w:rPr>
          <w:rFonts w:ascii="Times New Roman" w:hAnsi="Times New Roman" w:eastAsia="Times New Roman" w:cs="Times New Roman"/>
        </w:rPr>
        <w:t xml:space="preserve">Продавец обязан вернуть Покупателю полученные по настоящему Договору 150 000 (сто пятьдесят тысяч) рублей в течение трёх рабочих дней со дня получения Сторонами решения об отказе или заключения письменного соглашения о прекращении регистрационных действий.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Заявления и гарантии Продавца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3.1. Продавец подтверждает, что на дату подписания настоящего Договора: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земельный участок не продан, не подарен, не обещан к продаже или дарению другому лицу;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земельный участок не заложен, не передан в аренду, безвозмездное пользование, доверительное управление или в качестве вклада;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земельный участок не находится под арестом или запретом на совершение регистрационных действий;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отношении земельного участка отсутствуют судебные споры и заявленные права третьих лиц;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отсутствуют лица, сохраняющие право владения или пользования земельным участком после его продажи;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отсутствуют неисполненные договоры и соглашения, препятствующие переходу права собственности к Покупателю;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сведения о фактическом расположении и использовании земельного участка, известные Продавцу, не противоречат сведениям ЕГРН;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Продавец не скрывал от Покупателя известные ему обстоятельства, которые могут существенно ограничить использование земельного участка в соответствии с видом его разрешённого использования.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3.2. Ограничения прав и обременения земельного участка согласно сведениям ЕГРН: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[выбрать один вариант]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659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«не зарегистрированы»;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либо: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«зарегистрированы следующие ограничения (обременения): _____________________________________________________________________».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3.3. Семейное положение и права супруга Продавца: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[оставить только подходящий вариант]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Вариант 1. На момент приобретения земельного участка Продавец в зарегистрированном браке не состоял.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Вариант 2. Земельный участок получен Продавцом по безвозмездной сделке — в порядке наследования, дарения либо по иному предусмотренному законом основанию — и является личной собственностью Продавца.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Вариант 3. Земельный участок приобретён Продавцом в период зарегистрированного брака. Нотариально удостоверенное согласие супруга Продавца на отчуждение земельного участка представляется одновременно с настоящим Договором.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3.4. Продавец обязуется погасить относящиеся к периоду его владения земельным участком задолженности по земельному налогу, а при нахождении участка на территории садоводства — задолженности по членским и целевым взносам, если такие задолженности имеются.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Передача земельного участка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4.1. Покупатель осмотрел земельный участок до подписания настоящего Договора, ознакомился с его местоположением, фактическим состоянием, границами, подъездом и существующими условиями использования.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4.2. Земельный участок считается переданным Продавцом и принятым Покупателем в день государственной регистрации перехода права собственности к Покупателю.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Настоящий Договор одновременно является документом, подтверждающим передачу земельного участка. Отдельный передаточный акт Сторонами не составляется.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4.3. До государственной регистрации перехода права собственности Продавец обязуется не совершать действий, направленных на отчуждение или обременение земельного участка, а также не изменять его фактическое состояние.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4.4. Покупатель вправе владеть и пользоваться земельным участком с даты государственной регистрации своего права собственности, соблюдая вид разрешённого использования и установленные законом ограничения.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Государственная регистрация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5.1. Право собственности Покупателя возникает с даты внесения в Единый государственный реестр недвижимости записи о государственной регистрации перехода права собственности.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5.2. Стороны обязуются совместно подать заявления и необходимые документы для государственной регистрации перехода права собственности через многофункциональный центр в день подписания настоящего Договора.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5.3. Государственную пошлину за регистрацию права собственности Покупателя оплачивает Покупатель.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Расходы на получение нотариального согласия супруга Продавца и иных документов, которые должен представить Продавец, несёт Продавец.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5.4. Каждая из Сторон обязуется не уклоняться от государственной регистрации и по запросу государственного регистратора своевременно представлять документы и пояснения, необходимые для завершения регистрационных действий.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Ответственность и разрешение споров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</w:t>
      </w:r>
      <w:r>
        <w:rPr>
          <w:rFonts w:ascii="Times New Roman" w:hAnsi="Times New Roman" w:eastAsia="Times New Roman" w:cs="Times New Roman"/>
        </w:rPr>
        <w:t xml:space="preserve">.2. Сторона, сообщившая недостоверные сведения или скрывшая обстоятельства, препятствующие переходу права собственности либо законному использованию земельного участка, обязана возместить другой Стороне причинённые этим документально подтверждённые убытки.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6.3. Споры Стороны стараются урегулировать путём переговоров. Если соглашение не достигнуто, спор разрешается судом в порядке, установленном законодательством Российской Федерации.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7.1. Настоящий Договор вступает в силу с момента его подписания Сторонами.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7.2. Все изменения и дополнения к настоящему Договору действительны при условии их совершения в письменной форме и подписания обеими Сторонами.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.3. Стороны подтверждают, что содержание настоящего Договора им понятно, условия соответствуют их действительной воле, они действуют добровольно, не находятся под влиянием заблуждения, обмана, насилия или угрозы и способны понимать значение своих действий.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7.4. Настоящий Договор составлен в трёх экземплярах, имеющих один</w:t>
      </w:r>
      <w:r>
        <w:rPr>
          <w:rFonts w:ascii="Times New Roman" w:hAnsi="Times New Roman" w:eastAsia="Times New Roman" w:cs="Times New Roman"/>
        </w:rPr>
        <w:t xml:space="preserve">аковую юридическую силу: по одному для Продавца и Покупателя и один для представления при государственной регистрации перехода права собственности. Представленный для регистрации бумажный экземпляр после перевода в электронный образ возвращается заявителю.</w:t>
      </w:r>
      <w:r>
        <w:rPr>
          <w:rFonts w:ascii="Times New Roman" w:hAnsi="Times New Roman" w:eastAsia="Times New Roman" w:cs="Times New Roman"/>
        </w:rPr>
      </w:r>
    </w:p>
    <w:p>
      <w:pPr>
        <w:pStyle w:val="661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Реквизиты и подписи Сторон</w:t>
      </w:r>
      <w:r>
        <w:rPr>
          <w:rFonts w:ascii="Times New Roman" w:hAnsi="Times New Roman" w:eastAsia="Times New Roman" w:cs="Times New Roman"/>
        </w:rPr>
      </w:r>
    </w:p>
    <w:p>
      <w:pPr>
        <w:pStyle w:val="6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ПРОДАВЕЦ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Ф. И. О.: ______________________________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Паспорт: ______________________________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Адрес регистрации: ______________________________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Телефон: ______________________________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Денежные средства в размере ____________________________________________________ получил(а) полностью.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Подпись: __________________ /__________________/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ПОКУПАТЕЛЬ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Ф. И. О.: ______________________________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Паспорт: ______________________________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Адрес регистрации: ______________________________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Телефон: ______________________________</w:t>
      </w:r>
      <w:r>
        <w:rPr>
          <w:rFonts w:ascii="Times New Roman" w:hAnsi="Times New Roman" w:eastAsia="Times New Roman" w:cs="Times New Roman"/>
        </w:rPr>
      </w:r>
    </w:p>
    <w:p>
      <w:pPr>
        <w:pStyle w:val="65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Подпись: __________________ /__________________/</w:t>
      </w:r>
      <w:r>
        <w:rPr>
          <w:rFonts w:ascii="Times New Roman" w:hAnsi="Times New Roman" w:eastAsia="Times New Roman" w:cs="Times New Roman"/>
        </w:rPr>
      </w:r>
    </w:p>
    <w:sectPr>
      <w:footnotePr>
        <w:numRestart w:val="eachSect"/>
      </w:footnotePr>
      <w:end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Consolas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 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 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 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 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 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 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 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 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 "/>
      <w:lvlJc w:val="lef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2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2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2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2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2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2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2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3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3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3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3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3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3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3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4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4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4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4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4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4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4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5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5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5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5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5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5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5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5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6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6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6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6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6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6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6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6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7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7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7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7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7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7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7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7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8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8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8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8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8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8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8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8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6">
    <w:abstractNumId w:val="2"/>
  </w:num>
  <w:num w:numId="7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8">
    <w:abstractNumId w:val="6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9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1">
    <w:abstractNumId w:val="9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before="0" w:beforeAutospacing="0" w:after="20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3">
    <w:name w:val="List Paragraph"/>
    <w:basedOn w:val="658"/>
    <w:uiPriority w:val="34"/>
    <w:qFormat/>
    <w:pPr>
      <w:contextualSpacing/>
      <w:ind w:left="720"/>
    </w:pPr>
  </w:style>
  <w:style w:type="table" w:styleId="34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5">
    <w:name w:val="No Spacing"/>
    <w:uiPriority w:val="1"/>
    <w:qFormat/>
    <w:pPr>
      <w:spacing w:before="0" w:after="0" w:line="240" w:lineRule="auto"/>
    </w:pPr>
  </w:style>
  <w:style w:type="paragraph" w:styleId="40">
    <w:name w:val="Quote"/>
    <w:basedOn w:val="658"/>
    <w:next w:val="658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58"/>
    <w:next w:val="658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5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692"/>
    <w:link w:val="44"/>
    <w:uiPriority w:val="99"/>
  </w:style>
  <w:style w:type="paragraph" w:styleId="46">
    <w:name w:val="Footer"/>
    <w:basedOn w:val="65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92"/>
    <w:link w:val="46"/>
    <w:uiPriority w:val="99"/>
  </w:style>
  <w:style w:type="character" w:styleId="49">
    <w:name w:val="Caption Char"/>
    <w:basedOn w:val="692"/>
    <w:link w:val="696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155">
    <w:name w:val="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8">
    <w:name w:val="Footnote Text Char"/>
    <w:link w:val="690"/>
    <w:uiPriority w:val="99"/>
    <w:rPr>
      <w:sz w:val="18"/>
    </w:rPr>
  </w:style>
  <w:style w:type="paragraph" w:styleId="180">
    <w:name w:val="endnote text"/>
    <w:basedOn w:val="658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92"/>
    <w:uiPriority w:val="99"/>
    <w:semiHidden/>
    <w:unhideWhenUsed/>
    <w:rPr>
      <w:vertAlign w:val="superscript"/>
    </w:rPr>
  </w:style>
  <w:style w:type="paragraph" w:styleId="183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93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qFormat/>
  </w:style>
  <w:style w:type="paragraph" w:styleId="659">
    <w:name w:val="Body Text"/>
    <w:basedOn w:val="658"/>
    <w:link w:val="701"/>
    <w:qFormat/>
    <w:pPr>
      <w:spacing w:before="180" w:after="180"/>
    </w:pPr>
  </w:style>
  <w:style w:type="paragraph" w:styleId="660" w:customStyle="1">
    <w:name w:val="First Paragraph"/>
    <w:basedOn w:val="659"/>
    <w:next w:val="659"/>
    <w:qFormat/>
  </w:style>
  <w:style w:type="paragraph" w:styleId="661" w:customStyle="1">
    <w:name w:val="Compact"/>
    <w:basedOn w:val="659"/>
    <w:qFormat/>
    <w:pPr>
      <w:spacing w:before="36" w:after="36"/>
    </w:pPr>
  </w:style>
  <w:style w:type="paragraph" w:styleId="662">
    <w:name w:val="Title"/>
    <w:basedOn w:val="658"/>
    <w:next w:val="659"/>
    <w:link w:val="663"/>
    <w:uiPriority w:val="10"/>
    <w:qFormat/>
    <w:pPr>
      <w:contextualSpacing/>
      <w:jc w:val="center"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63" w:customStyle="1">
    <w:name w:val="Title Char"/>
    <w:basedOn w:val="692"/>
    <w:link w:val="66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64">
    <w:name w:val="Subtitle"/>
    <w:basedOn w:val="662"/>
    <w:next w:val="659"/>
    <w:link w:val="665"/>
    <w:uiPriority w:val="11"/>
    <w:qFormat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styleId="665" w:customStyle="1">
    <w:name w:val="Subtitle Char"/>
    <w:basedOn w:val="692"/>
    <w:link w:val="66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66" w:customStyle="1">
    <w:name w:val="Author"/>
    <w:next w:val="659"/>
    <w:qFormat/>
    <w:pPr>
      <w:jc w:val="center"/>
      <w:keepLines/>
      <w:keepNext/>
    </w:pPr>
  </w:style>
  <w:style w:type="paragraph" w:styleId="667">
    <w:name w:val="Date"/>
    <w:next w:val="659"/>
    <w:qFormat/>
    <w:pPr>
      <w:jc w:val="center"/>
      <w:keepLines/>
      <w:keepNext/>
    </w:pPr>
  </w:style>
  <w:style w:type="paragraph" w:styleId="668" w:customStyle="1">
    <w:name w:val="Abstract Title"/>
    <w:basedOn w:val="658"/>
    <w:next w:val="669"/>
    <w:qFormat/>
    <w:pPr>
      <w:jc w:val="center"/>
      <w:keepLines/>
      <w:keepNext/>
      <w:spacing w:before="300" w:after="0"/>
    </w:pPr>
    <w:rPr>
      <w:b/>
      <w:sz w:val="20"/>
      <w:szCs w:val="20"/>
    </w:rPr>
  </w:style>
  <w:style w:type="paragraph" w:styleId="669" w:customStyle="1">
    <w:name w:val="Abstract"/>
    <w:basedOn w:val="658"/>
    <w:next w:val="659"/>
    <w:qFormat/>
    <w:pPr>
      <w:keepLines/>
      <w:keepNext/>
      <w:spacing w:before="100" w:after="300"/>
    </w:pPr>
    <w:rPr>
      <w:sz w:val="20"/>
      <w:szCs w:val="20"/>
    </w:rPr>
  </w:style>
  <w:style w:type="paragraph" w:styleId="670">
    <w:name w:val="Bibliography"/>
    <w:basedOn w:val="658"/>
    <w:next w:val="670"/>
    <w:qFormat/>
  </w:style>
  <w:style w:type="paragraph" w:styleId="671">
    <w:name w:val="Heading 1"/>
    <w:basedOn w:val="658"/>
    <w:next w:val="659"/>
    <w:link w:val="68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72">
    <w:name w:val="Heading 2"/>
    <w:basedOn w:val="658"/>
    <w:next w:val="659"/>
    <w:link w:val="68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73">
    <w:name w:val="Heading 3"/>
    <w:basedOn w:val="658"/>
    <w:next w:val="659"/>
    <w:link w:val="68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74">
    <w:name w:val="Heading 4"/>
    <w:basedOn w:val="658"/>
    <w:next w:val="659"/>
    <w:link w:val="68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75">
    <w:name w:val="Heading 5"/>
    <w:basedOn w:val="658"/>
    <w:next w:val="659"/>
    <w:link w:val="68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76">
    <w:name w:val="Heading 6"/>
    <w:basedOn w:val="658"/>
    <w:next w:val="659"/>
    <w:link w:val="68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7">
    <w:name w:val="Heading 7"/>
    <w:basedOn w:val="658"/>
    <w:next w:val="659"/>
    <w:link w:val="68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78">
    <w:name w:val="Heading 8"/>
    <w:basedOn w:val="658"/>
    <w:next w:val="659"/>
    <w:link w:val="68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9">
    <w:name w:val="Heading 9"/>
    <w:basedOn w:val="658"/>
    <w:next w:val="659"/>
    <w:link w:val="68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80" w:customStyle="1">
    <w:name w:val="Heading 1 Char"/>
    <w:basedOn w:val="692"/>
    <w:link w:val="67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81" w:customStyle="1">
    <w:name w:val="Heading 2 Char"/>
    <w:basedOn w:val="692"/>
    <w:link w:val="672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82" w:customStyle="1">
    <w:name w:val="Heading 3 Char"/>
    <w:basedOn w:val="692"/>
    <w:link w:val="67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83" w:customStyle="1">
    <w:name w:val="Heading 4 Char"/>
    <w:basedOn w:val="692"/>
    <w:link w:val="67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84" w:customStyle="1">
    <w:name w:val="Heading 5 Char"/>
    <w:basedOn w:val="692"/>
    <w:link w:val="675"/>
    <w:uiPriority w:val="9"/>
    <w:semiHidden/>
    <w:rPr>
      <w:rFonts w:eastAsiaTheme="majorEastAsia" w:cstheme="majorBidi"/>
      <w:color w:val="0f4761" w:themeColor="accent1" w:themeShade="BF"/>
    </w:rPr>
  </w:style>
  <w:style w:type="character" w:styleId="685" w:customStyle="1">
    <w:name w:val="Heading 6 Char"/>
    <w:basedOn w:val="692"/>
    <w:link w:val="67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86" w:customStyle="1">
    <w:name w:val="Heading 7 Char"/>
    <w:basedOn w:val="692"/>
    <w:link w:val="677"/>
    <w:uiPriority w:val="9"/>
    <w:semiHidden/>
    <w:rPr>
      <w:rFonts w:eastAsiaTheme="majorEastAsia" w:cstheme="majorBidi"/>
      <w:color w:val="595959" w:themeColor="text1" w:themeTint="A6"/>
    </w:rPr>
  </w:style>
  <w:style w:type="character" w:styleId="687" w:customStyle="1">
    <w:name w:val="Heading 8 Char"/>
    <w:basedOn w:val="692"/>
    <w:link w:val="67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88" w:customStyle="1">
    <w:name w:val="Heading 9 Char"/>
    <w:basedOn w:val="692"/>
    <w:link w:val="679"/>
    <w:uiPriority w:val="9"/>
    <w:semiHidden/>
    <w:rPr>
      <w:rFonts w:eastAsiaTheme="majorEastAsia" w:cstheme="majorBidi"/>
      <w:color w:val="272727" w:themeColor="text1" w:themeTint="D8"/>
    </w:rPr>
  </w:style>
  <w:style w:type="paragraph" w:styleId="689">
    <w:name w:val="Block Text"/>
    <w:basedOn w:val="659"/>
    <w:next w:val="659"/>
    <w:uiPriority w:val="9"/>
    <w:unhideWhenUsed/>
    <w:qFormat/>
    <w:pPr>
      <w:ind w:left="480" w:right="480" w:firstLine="0"/>
      <w:spacing w:before="100" w:after="100"/>
    </w:pPr>
  </w:style>
  <w:style w:type="paragraph" w:styleId="690">
    <w:name w:val="footnote text"/>
    <w:basedOn w:val="658"/>
    <w:next w:val="690"/>
    <w:uiPriority w:val="99"/>
    <w:unhideWhenUsed/>
  </w:style>
  <w:style w:type="paragraph" w:styleId="691">
    <w:name w:val="Footnote Block Text"/>
    <w:basedOn w:val="690"/>
    <w:next w:val="690"/>
    <w:uiPriority w:val="9"/>
    <w:unhideWhenUsed/>
    <w:qFormat/>
    <w:pPr>
      <w:ind w:left="480" w:right="480" w:firstLine="0"/>
      <w:spacing w:before="100" w:after="100"/>
    </w:pPr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Table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tblPr>
        <w:tblInd w:w="0" w:type="dxa"/>
      </w:tblPr>
      <w:trPr>
        <w:jc w:val="left"/>
      </w:trPr>
      <w:tcPr>
        <w:tcBorders>
          <w:bottom w:val="single" w:color="000000" w:sz="4" w:space="0"/>
        </w:tcBorders>
        <w:vAlign w:val="bottom"/>
      </w:tcPr>
    </w:tblStylePr>
  </w:style>
  <w:style w:type="paragraph" w:styleId="694" w:customStyle="1">
    <w:name w:val="Definition Term"/>
    <w:basedOn w:val="658"/>
    <w:next w:val="695"/>
    <w:pPr>
      <w:keepLines/>
      <w:keepNext/>
      <w:spacing w:after="0"/>
    </w:pPr>
    <w:rPr>
      <w:b/>
    </w:rPr>
  </w:style>
  <w:style w:type="paragraph" w:styleId="695" w:customStyle="1">
    <w:name w:val="Definition"/>
    <w:basedOn w:val="658"/>
  </w:style>
  <w:style w:type="paragraph" w:styleId="696">
    <w:name w:val="Caption"/>
    <w:basedOn w:val="658"/>
    <w:link w:val="701"/>
    <w:uiPriority w:val="35"/>
    <w:pPr>
      <w:spacing w:before="0" w:after="120"/>
    </w:pPr>
    <w:rPr>
      <w:i/>
    </w:rPr>
  </w:style>
  <w:style w:type="paragraph" w:styleId="697" w:customStyle="1">
    <w:name w:val="Table Caption"/>
    <w:basedOn w:val="696"/>
    <w:pPr>
      <w:keepNext/>
    </w:pPr>
  </w:style>
  <w:style w:type="paragraph" w:styleId="698" w:customStyle="1">
    <w:name w:val="Image Caption"/>
    <w:basedOn w:val="696"/>
  </w:style>
  <w:style w:type="paragraph" w:styleId="699" w:customStyle="1">
    <w:name w:val="Figure"/>
    <w:basedOn w:val="658"/>
  </w:style>
  <w:style w:type="paragraph" w:styleId="700" w:customStyle="1">
    <w:name w:val="Captioned Figure"/>
    <w:basedOn w:val="699"/>
    <w:pPr>
      <w:keepNext/>
    </w:pPr>
  </w:style>
  <w:style w:type="character" w:styleId="701" w:customStyle="1">
    <w:name w:val="Body Text Char"/>
    <w:basedOn w:val="692"/>
    <w:link w:val="659"/>
  </w:style>
  <w:style w:type="character" w:styleId="702" w:customStyle="1">
    <w:name w:val="Verbatim Char"/>
    <w:basedOn w:val="701"/>
    <w:rPr>
      <w:rFonts w:ascii="Consolas" w:hAnsi="Consolas"/>
      <w:sz w:val="22"/>
    </w:rPr>
  </w:style>
  <w:style w:type="character" w:styleId="703" w:customStyle="1">
    <w:name w:val="Section Number"/>
    <w:basedOn w:val="701"/>
  </w:style>
  <w:style w:type="character" w:styleId="704">
    <w:name w:val="footnote reference"/>
    <w:basedOn w:val="701"/>
    <w:uiPriority w:val="99"/>
    <w:rPr>
      <w:vertAlign w:val="superscript"/>
    </w:rPr>
  </w:style>
  <w:style w:type="character" w:styleId="705">
    <w:name w:val="Hyperlink"/>
    <w:basedOn w:val="701"/>
    <w:uiPriority w:val="99"/>
    <w:rPr>
      <w:color w:val="4f81bd" w:themeColor="accent1"/>
    </w:rPr>
  </w:style>
  <w:style w:type="paragraph" w:styleId="706">
    <w:name w:val="TOC Heading"/>
    <w:basedOn w:val="671"/>
    <w:next w:val="659"/>
    <w:uiPriority w:val="39"/>
    <w:unhideWhenUsed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</w:rPr>
  </w:style>
  <w:style w:type="paragraph" w:styleId="707" w:customStyle="1">
    <w:name w:val="Source Code"/>
    <w:basedOn w:val="658"/>
    <w:link w:val="702"/>
  </w:style>
  <w:style w:type="character" w:styleId="708" w:customStyle="1">
    <w:name w:val="KeywordTok"/>
    <w:basedOn w:val="702"/>
    <w:rPr>
      <w:b/>
      <w:color w:val="007020"/>
    </w:rPr>
  </w:style>
  <w:style w:type="character" w:styleId="709" w:customStyle="1">
    <w:name w:val="DataTypeTok"/>
    <w:basedOn w:val="702"/>
    <w:rPr>
      <w:color w:val="902000"/>
    </w:rPr>
  </w:style>
  <w:style w:type="character" w:styleId="710" w:customStyle="1">
    <w:name w:val="DecValTok"/>
    <w:basedOn w:val="702"/>
    <w:rPr>
      <w:color w:val="40a070"/>
    </w:rPr>
  </w:style>
  <w:style w:type="character" w:styleId="711" w:customStyle="1">
    <w:name w:val="BaseNTok"/>
    <w:basedOn w:val="702"/>
    <w:rPr>
      <w:color w:val="40a070"/>
    </w:rPr>
  </w:style>
  <w:style w:type="character" w:styleId="712" w:customStyle="1">
    <w:name w:val="FloatTok"/>
    <w:basedOn w:val="702"/>
    <w:rPr>
      <w:color w:val="40a070"/>
    </w:rPr>
  </w:style>
  <w:style w:type="character" w:styleId="713" w:customStyle="1">
    <w:name w:val="ConstantTok"/>
    <w:basedOn w:val="702"/>
    <w:rPr>
      <w:color w:val="880000"/>
    </w:rPr>
  </w:style>
  <w:style w:type="character" w:styleId="714" w:customStyle="1">
    <w:name w:val="CharTok"/>
    <w:basedOn w:val="702"/>
    <w:rPr>
      <w:color w:val="4070a0"/>
    </w:rPr>
  </w:style>
  <w:style w:type="character" w:styleId="715" w:customStyle="1">
    <w:name w:val="SpecialCharTok"/>
    <w:basedOn w:val="702"/>
    <w:rPr>
      <w:color w:val="4070a0"/>
    </w:rPr>
  </w:style>
  <w:style w:type="character" w:styleId="716" w:customStyle="1">
    <w:name w:val="StringTok"/>
    <w:basedOn w:val="702"/>
    <w:rPr>
      <w:color w:val="4070a0"/>
    </w:rPr>
  </w:style>
  <w:style w:type="character" w:styleId="717" w:customStyle="1">
    <w:name w:val="VerbatimStringTok"/>
    <w:basedOn w:val="702"/>
    <w:rPr>
      <w:color w:val="4070a0"/>
    </w:rPr>
  </w:style>
  <w:style w:type="character" w:styleId="718" w:customStyle="1">
    <w:name w:val="SpecialStringTok"/>
    <w:basedOn w:val="702"/>
    <w:rPr>
      <w:color w:val="bb6688"/>
    </w:rPr>
  </w:style>
  <w:style w:type="character" w:styleId="719" w:customStyle="1">
    <w:name w:val="ImportTok"/>
    <w:basedOn w:val="702"/>
    <w:rPr>
      <w:b/>
      <w:color w:val="008000"/>
    </w:rPr>
  </w:style>
  <w:style w:type="character" w:styleId="720" w:customStyle="1">
    <w:name w:val="CommentTok"/>
    <w:basedOn w:val="702"/>
    <w:rPr>
      <w:i/>
      <w:color w:val="60a0b0"/>
    </w:rPr>
  </w:style>
  <w:style w:type="character" w:styleId="721" w:customStyle="1">
    <w:name w:val="DocumentationTok"/>
    <w:basedOn w:val="702"/>
    <w:rPr>
      <w:i/>
      <w:color w:val="ba2121"/>
    </w:rPr>
  </w:style>
  <w:style w:type="character" w:styleId="722" w:customStyle="1">
    <w:name w:val="AnnotationTok"/>
    <w:basedOn w:val="702"/>
    <w:rPr>
      <w:b/>
      <w:i/>
      <w:color w:val="60a0b0"/>
    </w:rPr>
  </w:style>
  <w:style w:type="character" w:styleId="723" w:customStyle="1">
    <w:name w:val="CommentVarTok"/>
    <w:basedOn w:val="702"/>
    <w:rPr>
      <w:b/>
      <w:i/>
      <w:color w:val="60a0b0"/>
    </w:rPr>
  </w:style>
  <w:style w:type="character" w:styleId="724" w:customStyle="1">
    <w:name w:val="OtherTok"/>
    <w:basedOn w:val="702"/>
    <w:rPr>
      <w:color w:val="007020"/>
    </w:rPr>
  </w:style>
  <w:style w:type="character" w:styleId="725" w:customStyle="1">
    <w:name w:val="FunctionTok"/>
    <w:basedOn w:val="702"/>
    <w:rPr>
      <w:color w:val="06287e"/>
    </w:rPr>
  </w:style>
  <w:style w:type="character" w:styleId="726" w:customStyle="1">
    <w:name w:val="VariableTok"/>
    <w:basedOn w:val="702"/>
    <w:rPr>
      <w:color w:val="19177c"/>
    </w:rPr>
  </w:style>
  <w:style w:type="character" w:styleId="727" w:customStyle="1">
    <w:name w:val="ControlFlowTok"/>
    <w:basedOn w:val="702"/>
    <w:rPr>
      <w:b/>
      <w:color w:val="007020"/>
    </w:rPr>
  </w:style>
  <w:style w:type="character" w:styleId="728" w:customStyle="1">
    <w:name w:val="OperatorTok"/>
    <w:basedOn w:val="702"/>
    <w:rPr>
      <w:color w:val="666666"/>
    </w:rPr>
  </w:style>
  <w:style w:type="character" w:styleId="729" w:customStyle="1">
    <w:name w:val="BuiltInTok"/>
    <w:basedOn w:val="702"/>
    <w:rPr>
      <w:color w:val="008000"/>
    </w:rPr>
  </w:style>
  <w:style w:type="character" w:styleId="730" w:customStyle="1">
    <w:name w:val="ExtensionTok"/>
    <w:basedOn w:val="702"/>
  </w:style>
  <w:style w:type="character" w:styleId="731" w:customStyle="1">
    <w:name w:val="PreprocessorTok"/>
    <w:basedOn w:val="702"/>
    <w:rPr>
      <w:color w:val="bc7a00"/>
    </w:rPr>
  </w:style>
  <w:style w:type="character" w:styleId="732" w:customStyle="1">
    <w:name w:val="AttributeTok"/>
    <w:basedOn w:val="702"/>
    <w:rPr>
      <w:color w:val="7d9029"/>
    </w:rPr>
  </w:style>
  <w:style w:type="character" w:styleId="733" w:customStyle="1">
    <w:name w:val="RegionMarkerTok"/>
    <w:basedOn w:val="702"/>
  </w:style>
  <w:style w:type="character" w:styleId="734" w:customStyle="1">
    <w:name w:val="InformationTok"/>
    <w:basedOn w:val="702"/>
    <w:rPr>
      <w:b/>
      <w:i/>
      <w:color w:val="60a0b0"/>
    </w:rPr>
  </w:style>
  <w:style w:type="character" w:styleId="735" w:customStyle="1">
    <w:name w:val="WarningTok"/>
    <w:basedOn w:val="702"/>
    <w:rPr>
      <w:b/>
      <w:i/>
      <w:color w:val="60a0b0"/>
    </w:rPr>
  </w:style>
  <w:style w:type="character" w:styleId="736" w:customStyle="1">
    <w:name w:val="AlertTok"/>
    <w:basedOn w:val="702"/>
    <w:rPr>
      <w:b/>
      <w:color w:val="ff0000"/>
    </w:rPr>
  </w:style>
  <w:style w:type="character" w:styleId="737" w:customStyle="1">
    <w:name w:val="ErrorTok"/>
    <w:basedOn w:val="702"/>
    <w:rPr>
      <w:b/>
      <w:color w:val="ff0000"/>
    </w:rPr>
  </w:style>
  <w:style w:type="character" w:styleId="738" w:customStyle="1">
    <w:name w:val="NormalTok"/>
    <w:basedOn w:val="702"/>
  </w:style>
  <w:style w:type="numbering" w:styleId="108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Анна Замятина</cp:lastModifiedBy>
  <cp:revision>1</cp:revision>
  <dcterms:created xsi:type="dcterms:W3CDTF">1970-01-01T00:00:00Z</dcterms:created>
  <dcterms:modified xsi:type="dcterms:W3CDTF">2026-07-31T06:24:15Z</dcterms:modified>
</cp:coreProperties>
</file>